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Рекомендуемый расчет ширины пешеходных коммуникаций.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Расчет ширины тротуаров и других пешеходных коммуникаций рекомендуется производить по формуле: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7BA0A7" wp14:editId="1BCF1065">
            <wp:extent cx="14573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>, где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B - расчетная ширина пешеходной коммуникации, м;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B4B17B" wp14:editId="3C099DC4">
            <wp:extent cx="2095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 xml:space="preserve"> - стандартная ширина одной полосы пешеходного движения, равная 0,75 м;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p - нормативная пропускная способность одной стандартной полосы пешеходной коммуникации, чел./час, которую рекомендуется определять по таблице 7.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72352478"/>
      <w:r w:rsidRPr="004E5537">
        <w:rPr>
          <w:rFonts w:ascii="Times New Roman" w:hAnsi="Times New Roman" w:cs="Times New Roman"/>
          <w:sz w:val="28"/>
          <w:szCs w:val="28"/>
        </w:rPr>
        <w:t>Таблица 7. Пропускная способность пешеходных коммуникаций</w:t>
      </w:r>
      <w:bookmarkEnd w:id="1"/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Человек в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8"/>
        <w:gridCol w:w="2077"/>
      </w:tblGrid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Элементы пешеходных коммуникаций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одной полосы движения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Тротуары, расположенные вдоль красной  линии улиц с развитой торговой сетью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Тротуары, расположенные вдоль красной линии улиц с незначительной торговой сетью 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 в пределах зеленых насаждений улиц и дорог (бульвары)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800 - 1000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Пешеходные дороги (прогулочные)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600 - 700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Пешеходные переходные через проезжую часть (наземные)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1200 - 1500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500 - 600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Пандус (уклон 1:10)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:rsidTr="007B52F4">
        <w:tc>
          <w:tcPr>
            <w:tcW w:w="9571" w:type="dxa"/>
            <w:gridSpan w:val="2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Предельная пропускная способность, принимаемая при определении максимальных нагрузок, - 1500 чел./час.</w:t>
            </w:r>
          </w:p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 одной полосы пешеходного движения – 0,75м.</w:t>
            </w:r>
          </w:p>
        </w:tc>
      </w:tr>
    </w:tbl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B15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886B15" w:rsidRPr="004E5537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FD"/>
    <w:rsid w:val="00886B15"/>
    <w:rsid w:val="00A71ADF"/>
    <w:rsid w:val="00AF5F78"/>
    <w:rsid w:val="00BC0FA3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D5C6-1451-4146-B75C-A762D8F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78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2023-06-15T06:20:00Z</dcterms:created>
  <dcterms:modified xsi:type="dcterms:W3CDTF">2023-07-28T08:26:00Z</dcterms:modified>
</cp:coreProperties>
</file>